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0" w:firstLineChars="0"/>
        <w:jc w:val="center"/>
        <w:textAlignment w:val="auto"/>
        <w:rPr>
          <w:rFonts w:hint="eastAsia" w:ascii="方正小标宋简体" w:eastAsia="方正小标宋简体"/>
          <w:color w:val="000000"/>
          <w:sz w:val="44"/>
          <w:szCs w:val="44"/>
          <w:lang w:eastAsia="zh-CN"/>
        </w:rPr>
      </w:pPr>
      <w:r>
        <w:rPr>
          <w:rFonts w:hint="eastAsia" w:ascii="华文中宋" w:hAnsi="华文中宋" w:eastAsia="华文中宋" w:cs="楷体_GB2312"/>
          <w:color w:val="FF0000"/>
          <w:spacing w:val="-20"/>
          <w:sz w:val="44"/>
          <w:szCs w:val="44"/>
        </w:rPr>
        <w:pict>
          <v:shape id="艺术字 14" o:spid="_x0000_s1026" o:spt="136" type="#_x0000_t136" style="position:absolute;left:0pt;margin-left:-3.75pt;margin-top:24.85pt;height:83.3pt;width:443.65pt;z-index:251665408;mso-width-relative:page;mso-height-relative:page;" fillcolor="#FF0000" filled="t" stroked="f" coordsize="21600,21600" adj="10800">
            <v:path/>
            <v:fill on="t" color2="#FFFFFF" focussize="0,0"/>
            <v:stroke on="f"/>
            <v:imagedata o:title=""/>
            <o:lock v:ext="edit" aspectratio="f"/>
            <v:textpath on="t" fitshape="t" fitpath="t" trim="t" xscale="f" string="滕州市人民政府办公室文件" style="font-family:华文中宋;font-size:36pt;font-weight:bold;v-text-align:center;"/>
          </v:shape>
        </w:pict>
      </w: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0" w:firstLineChars="0"/>
        <w:jc w:val="center"/>
        <w:textAlignment w:val="auto"/>
        <w:rPr>
          <w:rFonts w:hint="eastAsia" w:ascii="方正小标宋简体" w:eastAsia="方正小标宋简体"/>
          <w:color w:val="000000"/>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0" w:firstLineChars="0"/>
        <w:jc w:val="center"/>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0" w:firstLineChars="0"/>
        <w:jc w:val="center"/>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滕政</w:t>
      </w:r>
      <w:r>
        <w:rPr>
          <w:rFonts w:hint="eastAsia" w:ascii="仿宋_GB2312" w:hAnsi="仿宋_GB2312" w:eastAsia="仿宋_GB2312" w:cs="仿宋_GB2312"/>
          <w:color w:val="000000"/>
          <w:sz w:val="32"/>
          <w:szCs w:val="32"/>
          <w:lang w:val="en-US" w:eastAsia="zh-CN"/>
        </w:rPr>
        <w:t>办发</w:t>
      </w:r>
      <w:r>
        <w:rPr>
          <w:rFonts w:hint="eastAsia" w:ascii="仿宋_GB2312" w:hAnsi="仿宋_GB2312" w:eastAsia="仿宋_GB2312" w:cs="仿宋_GB2312"/>
          <w:color w:val="000000"/>
          <w:sz w:val="32"/>
          <w:szCs w:val="32"/>
          <w:lang w:eastAsia="zh-CN"/>
        </w:rPr>
        <w:t>〔2023〕</w:t>
      </w:r>
      <w:r>
        <w:rPr>
          <w:rFonts w:hint="eastAsia" w:ascii="仿宋_GB2312" w:hAnsi="仿宋_GB2312" w:eastAsia="仿宋_GB2312" w:cs="仿宋_GB2312"/>
          <w:color w:val="000000"/>
          <w:sz w:val="32"/>
          <w:szCs w:val="32"/>
          <w:lang w:val="en-US" w:eastAsia="zh-CN"/>
        </w:rPr>
        <w:t>24</w:t>
      </w:r>
      <w:r>
        <w:rPr>
          <w:rFonts w:hint="eastAsia" w:ascii="仿宋_GB2312" w:hAnsi="仿宋_GB2312" w:eastAsia="仿宋_GB2312" w:cs="仿宋_GB2312"/>
          <w:color w:val="000000"/>
          <w:sz w:val="32"/>
          <w:szCs w:val="32"/>
          <w:lang w:eastAsia="zh-CN"/>
        </w:rPr>
        <w:t>号</w:t>
      </w:r>
    </w:p>
    <w:p>
      <w:pPr>
        <w:keepNext w:val="0"/>
        <w:keepLines w:val="0"/>
        <w:pageBreakBefore w:val="0"/>
        <w:widowControl w:val="0"/>
        <w:kinsoku/>
        <w:wordWrap/>
        <w:overflowPunct/>
        <w:topLinePunct w:val="0"/>
        <w:autoSpaceDE/>
        <w:autoSpaceDN/>
        <w:bidi w:val="0"/>
        <w:adjustRightInd w:val="0"/>
        <w:snapToGrid w:val="0"/>
        <w:spacing w:beforeLines="0" w:afterLines="0" w:line="800" w:lineRule="exact"/>
        <w:ind w:left="0" w:leftChars="0" w:right="0" w:rightChars="0" w:firstLine="0" w:firstLineChars="0"/>
        <w:jc w:val="center"/>
        <w:textAlignment w:val="auto"/>
        <w:rPr>
          <w:rFonts w:hint="eastAsia" w:ascii="方正小标宋简体" w:eastAsia="方正小标宋简体"/>
          <w:color w:val="000000"/>
          <w:sz w:val="44"/>
          <w:szCs w:val="44"/>
          <w:lang w:eastAsia="zh-CN"/>
        </w:rPr>
      </w:pPr>
      <w:bookmarkStart w:id="1" w:name="_GoBack"/>
      <w:r>
        <w:rPr>
          <w:rFonts w:hint="eastAsia" w:ascii="华文中宋" w:hAnsi="华文中宋" w:eastAsia="华文中宋" w:cs="楷体_GB2312"/>
          <w:color w:val="FF0000"/>
          <w:spacing w:val="-20"/>
          <w:sz w:val="44"/>
          <w:szCs w:val="44"/>
        </w:rPr>
        <mc:AlternateContent>
          <mc:Choice Requires="wps">
            <w:drawing>
              <wp:anchor distT="0" distB="0" distL="114300" distR="114300" simplePos="0" relativeHeight="251674624" behindDoc="0" locked="0" layoutInCell="1" allowOverlap="1">
                <wp:simplePos x="0" y="0"/>
                <wp:positionH relativeFrom="column">
                  <wp:posOffset>6350</wp:posOffset>
                </wp:positionH>
                <wp:positionV relativeFrom="paragraph">
                  <wp:posOffset>201295</wp:posOffset>
                </wp:positionV>
                <wp:extent cx="5143500" cy="635"/>
                <wp:effectExtent l="0" t="0" r="0" b="0"/>
                <wp:wrapNone/>
                <wp:docPr id="1" name="直接连接符 1"/>
                <wp:cNvGraphicFramePr/>
                <a:graphic xmlns:a="http://schemas.openxmlformats.org/drawingml/2006/main">
                  <a:graphicData uri="http://schemas.microsoft.com/office/word/2010/wordprocessingShape">
                    <wps:wsp>
                      <wps:cNvCnPr/>
                      <wps:spPr>
                        <a:xfrm>
                          <a:off x="1229995" y="3791585"/>
                          <a:ext cx="5143500" cy="63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5pt;margin-top:15.85pt;height:0.05pt;width:405pt;z-index:251674624;mso-width-relative:page;mso-height-relative:page;" filled="f" stroked="t" coordsize="21600,21600" o:gfxdata="UEsFBgAAAAAAAAAAAAAAAAAAAAAAAFBLAwQKAAAAAACHTuJAAAAAAAAAAAAAAAAABAAAAGRycy9Q&#10;SwMEFAAAAAgAh07iQFftAOnUAAAABwEAAA8AAABkcnMvZG93bnJldi54bWxNj8FOwzAQRO9I/Qdr&#10;K3GjTooEUYhT0QpuSIgU6NWNlzhqvI5iN03/ns0JjjOzmn1TbCbXiRGH0HpSkK4SEEi1Ny01Cj73&#10;r3cZiBA1Gd15QgVXDLApFzeFzo2/0AeOVWwEl1DItQIbY59LGWqLToeV75E4+/GD05Hl0Egz6AuX&#10;u06uk+RBOt0Sf7C6x53F+lSdnYLpO3u2h7e4ffFf7/Y0HSo3rq9K3S7T5AlExCn+HcOMz+hQMtPR&#10;n8kE0bHmJVHBffoIguMsnY3jbGQgy0L+5y9/AVBLAwQUAAAACACHTuJArwKsxvYBAAC2AwAADgAA&#10;AGRycy9lMm9Eb2MueG1srVPNjtMwEL4j8Q6W7zRpS3bbqOketpQLgkqwDzC1ncSS/2S7TfsSvAAS&#10;Nzhx5L5vw/IYO3bLssAFIXKYjD3jb+b7PF5cHbQie+GDtKah41FJiTDMcmm6ht68Wz+bURIiGA7K&#10;GtHQowj0avn0yWJwtZjY3iouPEEQE+rBNbSP0dVFEVgvNISRdcJgsLVeQ8Sl7wruYUB0rYpJWV4U&#10;g/XcectECLi7OgXpMuO3rWDxTdsGEYlqKPYWs/XZbpMtlguoOw+ul+zcBvxDFxqkwaIPUCuIQHZe&#10;/gGlJfM22DaOmNWFbVvJROaAbMblb2ze9uBE5oLiBPcgU/h/sOz1fuOJ5Hh3lBjQeEV3H75+e//p&#10;++1HtHdfPpNxEmlwocbca7Px51VwG58YH1qv0x+5kAPCTCbz+byi5NjQ6eV8XM2qk8jiEAnDhGr8&#10;fFqVeBcMMy6mOVr8hHE+xJfCapKchippkgJQw/5ViFgaU3+kpG1lyNDQyay6xJIMcIJaBRFd7ZBT&#10;MF0+HKySfC2VSkeC77bXypM94Eys1yV+qUME/iUtVVlB6E95OXQi0gvgLwwn8ehQLYNjTVMPWnBK&#10;lMBXkDwEhDqCVH+TiaWVSQdEntgz0ST5SeTkbS0/4k3tnJddj8JEvxO57RTE4cgEzoOcpu/xGv3H&#10;z215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FftAOnUAAAABwEAAA8AAAAAAAAAAQAgAAAAOAAA&#10;AGRycy9kb3ducmV2LnhtbFBLAQIUABQAAAAIAIdO4kCvAqzG9gEAALYDAAAOAAAAAAAAAAEAIAAA&#10;ADkBAABkcnMvZTJvRG9jLnhtbFBLBQYAAAAABgAGAFkBAAChBQAAAAA=&#10;">
                <v:path arrowok="t"/>
                <v:fill on="f" focussize="0,0"/>
                <v:stroke weight="2.25pt" color="#FF0000" joinstyle="round"/>
                <v:imagedata o:title=""/>
                <o:lock v:ext="edit" aspectratio="f"/>
              </v:line>
            </w:pict>
          </mc:Fallback>
        </mc:AlternateContent>
      </w:r>
      <w:bookmarkEnd w:id="1"/>
    </w:p>
    <w:p>
      <w:pPr>
        <w:keepNext w:val="0"/>
        <w:keepLines w:val="0"/>
        <w:pageBreakBefore w:val="0"/>
        <w:widowControl w:val="0"/>
        <w:kinsoku/>
        <w:wordWrap/>
        <w:overflowPunct w:val="0"/>
        <w:topLinePunct w:val="0"/>
        <w:autoSpaceDE/>
        <w:autoSpaceDN/>
        <w:bidi w:val="0"/>
        <w:adjustRightInd w:val="0"/>
        <w:snapToGrid w:val="0"/>
        <w:spacing w:beforeLines="0" w:afterLines="0" w:line="510" w:lineRule="exact"/>
        <w:ind w:left="0" w:leftChars="0" w:right="0" w:righ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color w:val="000000"/>
          <w:sz w:val="44"/>
          <w:szCs w:val="44"/>
          <w:lang w:eastAsia="zh-CN"/>
        </w:rPr>
        <w:t>滕州</w:t>
      </w:r>
      <w:r>
        <w:rPr>
          <w:rFonts w:hint="eastAsia" w:ascii="方正小标宋简体" w:eastAsia="方正小标宋简体"/>
          <w:color w:val="000000"/>
          <w:sz w:val="44"/>
          <w:szCs w:val="44"/>
        </w:rPr>
        <w:t>市人民政府办公室</w:t>
      </w:r>
    </w:p>
    <w:p>
      <w:pPr>
        <w:keepNext w:val="0"/>
        <w:keepLines w:val="0"/>
        <w:pageBreakBefore w:val="0"/>
        <w:widowControl w:val="0"/>
        <w:kinsoku/>
        <w:wordWrap/>
        <w:overflowPunct w:val="0"/>
        <w:topLinePunct w:val="0"/>
        <w:autoSpaceDE/>
        <w:autoSpaceDN/>
        <w:bidi w:val="0"/>
        <w:adjustRightInd w:val="0"/>
        <w:snapToGrid w:val="0"/>
        <w:spacing w:beforeLines="0" w:afterLines="0" w:line="510" w:lineRule="exact"/>
        <w:ind w:left="0" w:leftChars="0" w:right="0" w:righ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滕州</w:t>
      </w:r>
      <w:r>
        <w:rPr>
          <w:rFonts w:hint="eastAsia" w:ascii="方正小标宋简体" w:eastAsia="方正小标宋简体"/>
          <w:sz w:val="44"/>
          <w:szCs w:val="44"/>
        </w:rPr>
        <w:t>市实行告知承诺制的证明</w:t>
      </w:r>
    </w:p>
    <w:p>
      <w:pPr>
        <w:keepNext w:val="0"/>
        <w:keepLines w:val="0"/>
        <w:pageBreakBefore w:val="0"/>
        <w:widowControl w:val="0"/>
        <w:kinsoku/>
        <w:wordWrap/>
        <w:overflowPunct w:val="0"/>
        <w:topLinePunct w:val="0"/>
        <w:autoSpaceDE/>
        <w:autoSpaceDN/>
        <w:bidi w:val="0"/>
        <w:adjustRightInd w:val="0"/>
        <w:snapToGrid w:val="0"/>
        <w:spacing w:beforeLines="0" w:afterLines="0" w:line="510" w:lineRule="exact"/>
        <w:ind w:left="0" w:leftChars="0" w:right="0" w:rightChars="0" w:firstLine="0" w:firstLineChars="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事项实施清单（第二版）》的通知</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0" w:leftChars="0" w:right="0" w:rightChars="0" w:firstLine="0" w:firstLineChars="0"/>
        <w:jc w:val="both"/>
        <w:textAlignment w:val="auto"/>
      </w:pPr>
    </w:p>
    <w:p>
      <w:pPr>
        <w:keepNext w:val="0"/>
        <w:keepLines w:val="0"/>
        <w:pageBreakBefore w:val="0"/>
        <w:widowControl w:val="0"/>
        <w:kinsoku/>
        <w:wordWrap/>
        <w:overflowPunct w:val="0"/>
        <w:topLinePunct w:val="0"/>
        <w:autoSpaceDE/>
        <w:autoSpaceDN/>
        <w:bidi w:val="0"/>
        <w:adjustRightInd w:val="0"/>
        <w:snapToGrid w:val="0"/>
        <w:spacing w:beforeLines="0" w:afterLines="0" w:line="510" w:lineRule="exact"/>
        <w:ind w:left="0" w:leftChars="0" w:right="0" w:rightChars="0" w:firstLine="0" w:firstLineChars="0"/>
        <w:jc w:val="both"/>
        <w:textAlignment w:val="auto"/>
        <w:rPr>
          <w:rFonts w:ascii="仿宋_GB2312" w:hAnsi="仿宋" w:eastAsia="仿宋_GB2312"/>
          <w:color w:val="000000"/>
          <w:sz w:val="32"/>
          <w:szCs w:val="32"/>
        </w:rPr>
      </w:pPr>
      <w:r>
        <w:rPr>
          <w:rFonts w:hint="eastAsia" w:ascii="仿宋_GB2312" w:hAnsi="仿宋" w:eastAsia="仿宋_GB2312"/>
          <w:color w:val="000000"/>
          <w:sz w:val="32"/>
          <w:szCs w:val="32"/>
        </w:rPr>
        <w:t>各镇人民政府、街道办事处，滕州经济</w:t>
      </w:r>
      <w:r>
        <w:rPr>
          <w:rFonts w:hint="eastAsia" w:ascii="仿宋_GB2312" w:hAnsi="仿宋"/>
          <w:color w:val="000000"/>
          <w:sz w:val="32"/>
          <w:szCs w:val="32"/>
          <w:lang w:eastAsia="zh-CN"/>
        </w:rPr>
        <w:t>技术</w:t>
      </w:r>
      <w:r>
        <w:rPr>
          <w:rFonts w:hint="eastAsia" w:ascii="仿宋_GB2312" w:hAnsi="仿宋" w:eastAsia="仿宋_GB2312"/>
          <w:color w:val="000000"/>
          <w:sz w:val="32"/>
          <w:szCs w:val="32"/>
        </w:rPr>
        <w:t>开发区管委会，市政府各部门，各企事业单位：</w:t>
      </w:r>
    </w:p>
    <w:p>
      <w:pPr>
        <w:keepNext w:val="0"/>
        <w:keepLines w:val="0"/>
        <w:pageBreakBefore w:val="0"/>
        <w:widowControl w:val="0"/>
        <w:suppressLineNumbers w:val="0"/>
        <w:kinsoku/>
        <w:wordWrap/>
        <w:overflowPunct w:val="0"/>
        <w:topLinePunct w:val="0"/>
        <w:autoSpaceDE/>
        <w:autoSpaceDN/>
        <w:bidi w:val="0"/>
        <w:snapToGrid w:val="0"/>
        <w:spacing w:beforeLines="0" w:afterLines="0" w:line="510" w:lineRule="exact"/>
        <w:ind w:left="0" w:leftChars="0" w:right="0" w:rightChars="0"/>
        <w:jc w:val="both"/>
        <w:textAlignment w:val="auto"/>
        <w:rPr>
          <w:rFonts w:ascii="仿宋_GB2312"/>
          <w:szCs w:val="32"/>
        </w:rPr>
      </w:pPr>
      <w:r>
        <w:rPr>
          <w:rFonts w:hint="eastAsia" w:ascii="仿宋_GB2312" w:hAnsi="宋体" w:cs="宋体"/>
          <w:color w:val="000000"/>
          <w:kern w:val="0"/>
          <w:szCs w:val="32"/>
        </w:rPr>
        <w:t>根据《山东省司法厅关于印发&lt;山东省实行告知承诺制的证明事项通用清单（2022年版）&gt;的通知》（</w:t>
      </w:r>
      <w:bookmarkStart w:id="0" w:name="发文编号"/>
      <w:r>
        <w:rPr>
          <w:rFonts w:hint="eastAsia" w:ascii="仿宋_GB2312" w:hAnsi="宋体" w:cs="宋体"/>
          <w:color w:val="000000"/>
          <w:kern w:val="0"/>
          <w:szCs w:val="32"/>
        </w:rPr>
        <w:t>鲁司〔2022〕</w:t>
      </w:r>
      <w:r>
        <w:rPr>
          <w:rFonts w:ascii="仿宋_GB2312" w:hAnsi="宋体" w:cs="宋体"/>
          <w:color w:val="000000"/>
          <w:kern w:val="0"/>
          <w:szCs w:val="32"/>
        </w:rPr>
        <w:t>67</w:t>
      </w:r>
      <w:r>
        <w:rPr>
          <w:rFonts w:hint="eastAsia" w:ascii="仿宋_GB2312" w:hAnsi="宋体" w:cs="宋体"/>
          <w:color w:val="000000"/>
          <w:kern w:val="0"/>
          <w:szCs w:val="32"/>
        </w:rPr>
        <w:t>号</w:t>
      </w:r>
      <w:bookmarkEnd w:id="0"/>
      <w:r>
        <w:rPr>
          <w:rFonts w:hint="eastAsia" w:ascii="仿宋_GB2312" w:hAnsi="宋体" w:cs="宋体"/>
          <w:color w:val="000000"/>
          <w:kern w:val="0"/>
          <w:szCs w:val="32"/>
        </w:rPr>
        <w:t>）</w:t>
      </w:r>
      <w:r>
        <w:rPr>
          <w:rFonts w:hint="eastAsia" w:ascii="仿宋_GB2312" w:hAnsi="宋体" w:cs="宋体"/>
          <w:color w:val="000000"/>
          <w:kern w:val="0"/>
          <w:szCs w:val="32"/>
          <w:lang w:eastAsia="zh-CN"/>
        </w:rPr>
        <w:t>和《枣庄市人民政府办公室</w:t>
      </w:r>
      <w:r>
        <w:rPr>
          <w:rFonts w:hint="eastAsia" w:ascii="仿宋_GB2312" w:hAnsi="宋体" w:cs="宋体"/>
          <w:color w:val="000000"/>
          <w:kern w:val="0"/>
          <w:szCs w:val="32"/>
          <w:lang w:val="en-US" w:eastAsia="zh-CN"/>
        </w:rPr>
        <w:t>&lt;</w:t>
      </w:r>
      <w:r>
        <w:rPr>
          <w:rFonts w:hint="eastAsia" w:ascii="仿宋_GB2312" w:hAnsi="宋体" w:cs="宋体"/>
          <w:color w:val="000000"/>
          <w:kern w:val="0"/>
          <w:szCs w:val="32"/>
          <w:lang w:eastAsia="zh-CN"/>
        </w:rPr>
        <w:t>关于印发枣庄市实行告知承诺制的证明事项实施清单（第二版）</w:t>
      </w:r>
      <w:r>
        <w:rPr>
          <w:rFonts w:hint="eastAsia" w:ascii="仿宋_GB2312" w:hAnsi="宋体" w:cs="宋体"/>
          <w:color w:val="000000"/>
          <w:kern w:val="0"/>
          <w:szCs w:val="32"/>
          <w:lang w:val="en-US" w:eastAsia="zh-CN"/>
        </w:rPr>
        <w:t>&gt;</w:t>
      </w:r>
      <w:r>
        <w:rPr>
          <w:rFonts w:hint="eastAsia" w:ascii="仿宋_GB2312" w:hAnsi="宋体" w:cs="宋体"/>
          <w:color w:val="000000"/>
          <w:kern w:val="0"/>
          <w:szCs w:val="32"/>
          <w:lang w:eastAsia="zh-CN"/>
        </w:rPr>
        <w:t>的通知》（</w:t>
      </w:r>
      <w:r>
        <w:rPr>
          <w:rFonts w:ascii="仿宋_GB2312" w:hAnsi="宋体" w:eastAsia="仿宋_GB2312" w:cs="仿宋_GB2312"/>
          <w:color w:val="000000"/>
          <w:kern w:val="0"/>
          <w:sz w:val="31"/>
          <w:szCs w:val="31"/>
          <w:lang w:val="en-US" w:eastAsia="zh-CN" w:bidi="ar"/>
        </w:rPr>
        <w:t>枣政办发〔2023〕3号</w:t>
      </w:r>
      <w:r>
        <w:rPr>
          <w:rFonts w:hint="eastAsia" w:ascii="仿宋_GB2312" w:hAnsi="宋体" w:cs="宋体"/>
          <w:color w:val="000000"/>
          <w:kern w:val="0"/>
          <w:szCs w:val="32"/>
          <w:lang w:eastAsia="zh-CN"/>
        </w:rPr>
        <w:t>）</w:t>
      </w:r>
      <w:r>
        <w:rPr>
          <w:rFonts w:hint="eastAsia" w:ascii="仿宋_GB2312" w:hAnsi="宋体" w:cs="宋体"/>
          <w:color w:val="000000"/>
          <w:kern w:val="0"/>
          <w:szCs w:val="32"/>
        </w:rPr>
        <w:t>要求，</w:t>
      </w:r>
      <w:r>
        <w:rPr>
          <w:rFonts w:hint="eastAsia" w:ascii="仿宋_GB2312" w:hAnsi="宋体" w:cs="宋体"/>
          <w:color w:val="000000"/>
          <w:kern w:val="0"/>
          <w:szCs w:val="32"/>
          <w:lang w:eastAsia="zh-CN"/>
        </w:rPr>
        <w:t>滕州</w:t>
      </w:r>
      <w:r>
        <w:rPr>
          <w:rFonts w:hint="eastAsia" w:ascii="仿宋_GB2312" w:hAnsi="宋体" w:cs="宋体"/>
          <w:color w:val="000000"/>
          <w:kern w:val="0"/>
          <w:szCs w:val="32"/>
        </w:rPr>
        <w:t>市对</w:t>
      </w:r>
      <w:r>
        <w:rPr>
          <w:rFonts w:hint="eastAsia" w:ascii="仿宋_GB2312"/>
          <w:szCs w:val="32"/>
        </w:rPr>
        <w:t>实行告知承诺制的证明事项实施清单进行了动态调整，形成《滕州市实行告知承诺制的证明事项实施清单（第二版）》</w:t>
      </w:r>
      <w:r>
        <w:t>，经市政府同意，</w:t>
      </w:r>
      <w:r>
        <w:rPr>
          <w:rFonts w:hint="eastAsia" w:ascii="仿宋_GB2312"/>
          <w:szCs w:val="32"/>
        </w:rPr>
        <w:t>现印发给你们，请结合实际，认真抓好实施。2021年</w:t>
      </w:r>
      <w:r>
        <w:rPr>
          <w:rFonts w:hint="eastAsia" w:ascii="仿宋_GB2312"/>
          <w:szCs w:val="32"/>
          <w:lang w:val="en-US" w:eastAsia="zh-CN"/>
        </w:rPr>
        <w:t>11</w:t>
      </w:r>
      <w:r>
        <w:rPr>
          <w:rFonts w:hint="eastAsia" w:ascii="仿宋_GB2312"/>
          <w:szCs w:val="32"/>
        </w:rPr>
        <w:t>月</w:t>
      </w:r>
      <w:r>
        <w:rPr>
          <w:rFonts w:hint="eastAsia" w:ascii="仿宋_GB2312"/>
          <w:szCs w:val="32"/>
          <w:lang w:val="en-US" w:eastAsia="zh-CN"/>
        </w:rPr>
        <w:t>15</w:t>
      </w:r>
      <w:r>
        <w:rPr>
          <w:rFonts w:hint="eastAsia" w:ascii="仿宋_GB2312"/>
          <w:szCs w:val="32"/>
        </w:rPr>
        <w:t>日发布的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市实施告知承诺制证明事项清单（第一批）》</w:t>
      </w:r>
      <w:r>
        <w:rPr>
          <w:rFonts w:hint="eastAsia" w:ascii="仿宋_GB2312"/>
          <w:szCs w:val="32"/>
        </w:rPr>
        <w:t>同时废止。</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0" w:leftChars="0" w:right="0" w:rightChars="0" w:firstLine="640"/>
        <w:jc w:val="both"/>
        <w:textAlignment w:val="auto"/>
        <w:rPr>
          <w:rFonts w:hint="eastAsia"/>
          <w:lang w:eastAsia="zh-CN"/>
        </w:rPr>
      </w:pPr>
    </w:p>
    <w:p>
      <w:pPr>
        <w:keepNext w:val="0"/>
        <w:keepLines w:val="0"/>
        <w:pageBreakBefore w:val="0"/>
        <w:widowControl w:val="0"/>
        <w:kinsoku/>
        <w:wordWrap/>
        <w:overflowPunct w:val="0"/>
        <w:topLinePunct w:val="0"/>
        <w:autoSpaceDE/>
        <w:autoSpaceDN/>
        <w:bidi w:val="0"/>
        <w:adjustRightInd w:val="0"/>
        <w:snapToGrid w:val="0"/>
        <w:spacing w:beforeLines="0" w:afterLines="0" w:line="530" w:lineRule="exact"/>
        <w:ind w:left="0" w:leftChars="0" w:right="0" w:rightChars="0" w:firstLine="4640" w:firstLineChars="1450"/>
        <w:jc w:val="both"/>
        <w:textAlignment w:val="auto"/>
      </w:pPr>
      <w:r>
        <w:rPr>
          <w:rFonts w:hint="eastAsia"/>
          <w:lang w:eastAsia="zh-CN"/>
        </w:rPr>
        <w:t>滕州</w:t>
      </w:r>
      <w:r>
        <w:t>市人民政府办公室</w:t>
      </w:r>
    </w:p>
    <w:p>
      <w:pPr>
        <w:keepNext w:val="0"/>
        <w:keepLines w:val="0"/>
        <w:pageBreakBefore w:val="0"/>
        <w:widowControl w:val="0"/>
        <w:kinsoku/>
        <w:wordWrap/>
        <w:overflowPunct w:val="0"/>
        <w:topLinePunct w:val="0"/>
        <w:autoSpaceDE/>
        <w:autoSpaceDN/>
        <w:bidi w:val="0"/>
        <w:adjustRightInd w:val="0"/>
        <w:snapToGrid w:val="0"/>
        <w:spacing w:beforeLines="0" w:afterLines="0" w:line="530" w:lineRule="exact"/>
        <w:ind w:left="0" w:leftChars="0" w:right="0" w:rightChars="0" w:firstLine="4960" w:firstLineChars="1550"/>
        <w:jc w:val="both"/>
        <w:textAlignment w:val="auto"/>
        <w:rPr>
          <w:rFonts w:ascii="仿宋_GB2312"/>
          <w:szCs w:val="32"/>
        </w:rPr>
      </w:pPr>
      <w:r>
        <w:rPr>
          <w:rFonts w:hint="eastAsia" w:ascii="仿宋_GB2312"/>
          <w:szCs w:val="32"/>
        </w:rPr>
        <w:t>2023年</w:t>
      </w:r>
      <w:r>
        <w:rPr>
          <w:rFonts w:hint="eastAsia" w:ascii="仿宋_GB2312"/>
          <w:szCs w:val="32"/>
          <w:lang w:val="en-US" w:eastAsia="zh-CN"/>
        </w:rPr>
        <w:t>7</w:t>
      </w:r>
      <w:r>
        <w:rPr>
          <w:rFonts w:hint="eastAsia" w:ascii="仿宋_GB2312"/>
          <w:szCs w:val="32"/>
        </w:rPr>
        <w:t>月</w:t>
      </w:r>
      <w:r>
        <w:rPr>
          <w:rFonts w:hint="eastAsia" w:ascii="仿宋_GB2312"/>
          <w:szCs w:val="32"/>
          <w:lang w:val="en-US" w:eastAsia="zh-CN"/>
        </w:rPr>
        <w:t>11</w:t>
      </w:r>
      <w:r>
        <w:rPr>
          <w:rFonts w:hint="eastAsia" w:ascii="仿宋_GB2312"/>
          <w:szCs w:val="32"/>
        </w:rPr>
        <w:t>日</w:t>
      </w:r>
    </w:p>
    <w:p>
      <w:pPr>
        <w:rPr>
          <w:rFonts w:ascii="仿宋_GB2312"/>
          <w:szCs w:val="32"/>
        </w:rPr>
      </w:pPr>
      <w:r>
        <w:rPr>
          <w:rFonts w:ascii="仿宋_GB2312"/>
          <w:szCs w:val="32"/>
        </w:rPr>
        <w:br w:type="page"/>
      </w:r>
    </w:p>
    <w:p>
      <w:pPr>
        <w:keepNext w:val="0"/>
        <w:keepLines w:val="0"/>
        <w:pageBreakBefore w:val="0"/>
        <w:widowControl w:val="0"/>
        <w:kinsoku/>
        <w:wordWrap/>
        <w:overflowPunct/>
        <w:topLinePunct w:val="0"/>
        <w:autoSpaceDE/>
        <w:autoSpaceDN/>
        <w:bidi w:val="0"/>
        <w:adjustRightInd w:val="0"/>
        <w:snapToGrid w:val="0"/>
        <w:spacing w:beforeLines="0" w:afterLines="0" w:line="400" w:lineRule="exact"/>
        <w:ind w:left="0" w:leftChars="0" w:right="0" w:rightChars="0" w:firstLine="0" w:firstLine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beforeLines="0" w:afterLines="0" w:line="600" w:lineRule="exact"/>
        <w:ind w:left="0" w:leftChars="0" w:right="0" w:rightChars="0" w:firstLine="0" w:firstLineChars="0"/>
        <w:jc w:val="center"/>
        <w:textAlignment w:val="auto"/>
        <w:rPr>
          <w:rFonts w:ascii="方正小标宋简体" w:eastAsia="方正小标宋简体"/>
          <w:sz w:val="44"/>
          <w:szCs w:val="44"/>
        </w:rPr>
      </w:pPr>
      <w:r>
        <w:rPr>
          <w:rFonts w:hint="eastAsia" w:ascii="方正小标宋简体" w:eastAsia="方正小标宋简体"/>
          <w:sz w:val="44"/>
          <w:szCs w:val="44"/>
          <w:lang w:eastAsia="zh-CN"/>
        </w:rPr>
        <w:t>滕州</w:t>
      </w:r>
      <w:r>
        <w:rPr>
          <w:rFonts w:hint="eastAsia" w:ascii="方正小标宋简体" w:eastAsia="方正小标宋简体"/>
          <w:sz w:val="44"/>
          <w:szCs w:val="44"/>
        </w:rPr>
        <w:t>市实行告知承诺制的证明事项</w:t>
      </w:r>
    </w:p>
    <w:p>
      <w:pPr>
        <w:keepNext w:val="0"/>
        <w:keepLines w:val="0"/>
        <w:pageBreakBefore w:val="0"/>
        <w:widowControl w:val="0"/>
        <w:kinsoku/>
        <w:wordWrap/>
        <w:overflowPunct/>
        <w:topLinePunct w:val="0"/>
        <w:autoSpaceDE/>
        <w:autoSpaceDN/>
        <w:bidi w:val="0"/>
        <w:snapToGrid w:val="0"/>
        <w:spacing w:beforeLines="0" w:afterLines="0"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实施清单（第二版）</w:t>
      </w:r>
    </w:p>
    <w:p>
      <w:pPr>
        <w:keepNext w:val="0"/>
        <w:keepLines w:val="0"/>
        <w:pageBreakBefore w:val="0"/>
        <w:widowControl w:val="0"/>
        <w:kinsoku/>
        <w:wordWrap/>
        <w:overflowPunct/>
        <w:topLinePunct w:val="0"/>
        <w:autoSpaceDE/>
        <w:autoSpaceDN/>
        <w:bidi w:val="0"/>
        <w:snapToGrid w:val="0"/>
        <w:spacing w:beforeLines="0" w:afterLines="0" w:line="400" w:lineRule="exact"/>
        <w:jc w:val="center"/>
        <w:textAlignment w:val="auto"/>
        <w:rPr>
          <w:rFonts w:hint="eastAsia" w:ascii="楷体_GB2312" w:hAnsi="楷体_GB2312" w:eastAsia="楷体_GB2312" w:cs="楷体_GB2312"/>
          <w:sz w:val="32"/>
          <w:szCs w:val="32"/>
          <w:lang w:eastAsia="zh-CN"/>
        </w:rPr>
      </w:pPr>
    </w:p>
    <w:tbl>
      <w:tblPr>
        <w:tblStyle w:val="5"/>
        <w:tblW w:w="585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92"/>
        <w:gridCol w:w="1278"/>
        <w:gridCol w:w="627"/>
        <w:gridCol w:w="2089"/>
        <w:gridCol w:w="3347"/>
        <w:gridCol w:w="2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tblHeader/>
          <w:jc w:val="center"/>
        </w:trPr>
        <w:tc>
          <w:tcPr>
            <w:tcW w:w="290"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lang w:val="en-US" w:eastAsia="zh-CN"/>
              </w:rPr>
              <w:t>单位序号</w:t>
            </w:r>
          </w:p>
        </w:tc>
        <w:tc>
          <w:tcPr>
            <w:tcW w:w="626"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lang w:val="en-US" w:eastAsia="zh-CN"/>
              </w:rPr>
              <w:t>单位名称</w:t>
            </w:r>
          </w:p>
        </w:tc>
        <w:tc>
          <w:tcPr>
            <w:tcW w:w="307"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lang w:val="en-US" w:eastAsia="zh-CN"/>
              </w:rPr>
              <w:t>事项序号</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lang w:val="en-US" w:eastAsia="zh-CN"/>
              </w:rPr>
              <w:t>证明事项名称</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lang w:val="en-US" w:eastAsia="zh-CN"/>
              </w:rPr>
              <w:t>涉及的政务服务事项名称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黑体" w:hAnsi="黑体" w:eastAsia="黑体" w:cs="黑体"/>
                <w:b w:val="0"/>
                <w:bCs w:val="0"/>
                <w:color w:val="000000"/>
                <w:kern w:val="0"/>
                <w:sz w:val="21"/>
                <w:szCs w:val="21"/>
              </w:rPr>
            </w:pPr>
            <w:r>
              <w:rPr>
                <w:rFonts w:hint="eastAsia" w:ascii="黑体" w:hAnsi="黑体" w:eastAsia="黑体" w:cs="黑体"/>
                <w:b w:val="0"/>
                <w:bCs w:val="0"/>
                <w:color w:val="000000"/>
                <w:kern w:val="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市教育和</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体育局</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学生申诉处理</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学历证书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教师资格认定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国家教师资格认定系统中学历在线核验不通过的,应提供本项证明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普通话水平测试</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等级证书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教师资格认定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电子信息比对不通过的,应提供本项证明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体育类民办非企业单位设立、变更、注销登记前的审查</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市公安局</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车辆购置税完税证明</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或者免税凭证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机动车登记注册登记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机动车交通事故责任</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强制保险凭证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机动车登记注册登记、申请检验合格标志、申领机动车临时号牌、机动车转入登记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车船税纳税或者</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免税证明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机动车登记注册登记、申请检验</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合格标志</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排放偶发性强烈噪声审批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举办大型群众性活动安全许可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身体条件证明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机动车驾驶证核发初领</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机动车驾驶证核发增驾</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机动车驾驶证核发有效期满换证、</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军警换证、达到规定年龄换证和因身体条件变化降低准驾车型换证、恢复驾驶资格</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校车驾驶资格认定许可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3</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市民政局</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城乡居民最低生活保障金给付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特困供养人员给付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临时救助给付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最低生活保障边缘家庭认定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孤儿父母死亡、</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失踪的证明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孤儿基本生活费给付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市司法局</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（20项）</w:t>
            </w: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律师事务所符合设立分所条件的证明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律师事务所分所设立许可</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律师事务所执业</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许可证复印件</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律师事务所分所设立许可</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拟任律师事务所分</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所负责人符合规定</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条件的证明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律师事务所分所设立许可</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在高等院校、科研机构从事法学教育、研究工作的经历证明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律师执业许可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仅申请兼职律师执业的提供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7"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律师不具有不得变更执业机构情形的证明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律师变更执业机构</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24</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与原执业机构解除聘用关系或者合伙关系以及办结业务、档案、财务等交接手续的</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律师变更执业机构</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25</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律师执业经历证明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律师变更执业机构</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26</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台湾中华人民共和国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居民身份证明公证</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台湾居民申请在大陆从事</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律师职业许可</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27</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中华人民共和国居民身份证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律师事务所设立许可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仅律师事务所设立人</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原在外省执业的需提供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律师事务所分所设立许可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4</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市司法局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（20项）</w:t>
            </w: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中华人民共和国居民身份证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公证员执业许可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律师执业许可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31</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颁发公职律师工作证</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司法鉴定人执业登记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33</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司法鉴定机构设立登记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法定代表人、机构负责人身份证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颁发法律援助律师工作证</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颁发公司律师工作证</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36</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律师执业证</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律师事务所设立许可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律师事务所分所设立许可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noWrap/>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38</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法人或其他组织</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身份证明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司法鉴定机构设立登记</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仅限提供营业执照的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市人力资源和社会保障局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（78项）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39</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中华人民共和国居民身份证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职工非因工伤残或因病丧失</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劳动能力程度鉴定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法定代表人(负责人)、被委托人身份证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劳动能力再次鉴定</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41</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学历证明</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学位证明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咨询工程师(投资)职业</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一、二级注册建筑师资格考试报名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43</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全国监理工程师资格考试报名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环境影响评价工程师职业资格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社会工作者职业水平考试报名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注册计量师资格考试报名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注册设备监理师执业资格考试报名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注册测绘师资格考试报名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49</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一级建造师资格考试报名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出版专业技术人员职业资格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市人力资源和社会保障局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（78项）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51</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学历证明</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学位证明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执业药师资格考试报名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注册城乡规划师职业资格考试报名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53</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勘察设计注册工程师执业</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一级造价工程师执业资格考试报名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注册安全工程师执业资格考试报名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经济专业技术资格考试报名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一级注册消防工程师资格考试报名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58</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从事相关专业工作</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年限证明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咨询工程师(投资)职业资格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59</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一、二级注册建筑师资格考试报名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全国监理工程师资格考试报名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61</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环境影响评价工程师职业资格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社会工作者职业水平考试报名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63</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注册计量师资格考试报名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注册设备监理师执业资格考试报名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注册测绘师资格考试报名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一级建造师资格考试报名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出版专业技术人员职业资格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执业药师资格考试报名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69</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注册城乡规划师职业资格考试报名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勘察设计注册工程师执业</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71</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一级造价工程师执业资格考试报名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注册安全工程师执业资格考试报名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市人力资源和社会保障局</w:t>
            </w:r>
          </w:p>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（78项）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73</w:t>
            </w:r>
          </w:p>
        </w:tc>
        <w:tc>
          <w:tcPr>
            <w:tcW w:w="2089" w:type="dxa"/>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从事相关专业工作</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年限证明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经济专业技术资格考试报名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一级注册消防工程师资格考试报名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75</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专业技术人员</w:t>
            </w:r>
          </w:p>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职业资格证书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咨询工程师(投资)职业资格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全国监理工程师资格考试报名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翻译专业资格水平考试报名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社会工作者职业水平考试报名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79</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注册计量师资格考试报名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一级建造师资格考试报名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81</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注册城乡规划师职业资格考试报名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一级造价工程师执业资格考试报名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83</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注册安全工程师执业资格考试报名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经济专业技术资格考试报名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一级注册消防工程师资格考试报名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86</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专业技术人员职称</w:t>
            </w:r>
          </w:p>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聘用(评聘)证明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一、二级注册建筑师资格考试报名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环境影响评价工程师职业资格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翻译专业资格水平考试报名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89</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注册计量师资格考试报名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注册设备监理师执业资格考试报名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91</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注册测绘师资格考试报名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一级建造师资格考试报名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93</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出版专业技术人员职业资格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执业药师资格考试报名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注册安全工程师执业资格考试报名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一级注册消防工程师资格考试报名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7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市人力资源和社会保障局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（78项）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97</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全国优秀工程咨询成果奖项目</w:t>
            </w:r>
            <w:r>
              <w:rPr>
                <w:rFonts w:hint="eastAsia" w:ascii="宋体" w:hAnsi="宋体" w:eastAsia="宋体" w:cs="宋体"/>
                <w:sz w:val="21"/>
                <w:szCs w:val="21"/>
                <w:lang w:val="en-US" w:eastAsia="zh-CN"/>
              </w:rPr>
              <w:t>或者全国优秀工程勘察设计奖项目的主要完成人证明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咨询工程师(投资)职业资格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98</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环境影响评价</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上岗培训合格证书</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环境影响评价工程师职业资格</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99</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在读证明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翻译专业资格水平考试报名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100</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建筑业企业一级项目</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经理资质证书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一级建造师资格考试报名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101</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本科毕业时所学安全工程专业经全国工程教育专业认证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注册安全工程师执业资格考试报名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102</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在读证明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工亡待遇核定支付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103</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依靠工亡职工生</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前提供主要生活来源的证明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工亡待遇核定支付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104</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死亡证明材料</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(死亡医学证明、火化证明、户籍注销证明或殡葬证明)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企业职工基本养老保险一次性</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待遇申领(在职)</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四种证明只需要其中</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一种即可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企业离退休人员供养直系亲属</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生活困难补助核定支付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企业职工基本养老保险个人账户</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一次性待遇申领(退休人员死亡)</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居民养老保险注销登记及</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一次性待遇核定支付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机关事业单位工作人员养老保险个人账户一次性待遇申领</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109</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参保人员户籍关系</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转移证明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居民基本养老保险关系转续</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110</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直系亲属与参保人员</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关系证明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企业离退休人员丧葬补助金、</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抚恤金申领</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111</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无经济收入证明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企业离退休人员供养直系亲属</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生活困难补助核定支付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5</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市人力资源和社会保障局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（78项）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112</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继承人继承关系证明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企业职工基本养老保险个人账户</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一次性待遇申领(退休人员死亡)</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113</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职工缴费工资情况</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机关事业单位社会保险缴费</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基数申报</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114</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认定工伤决定书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工伤职工劳动能力再次鉴定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115</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初次劳动能力鉴定</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结论书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工伤职工劳动能力再次鉴定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116</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病历、诊断证明等</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医学资料</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工伤职工劳动能力再次鉴定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资源局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117</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不动产登记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通过行政机关之间协助</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pacing w:val="-11"/>
                <w:sz w:val="21"/>
                <w:szCs w:val="21"/>
                <w:lang w:val="en-US" w:eastAsia="zh-CN"/>
              </w:rPr>
              <w:t>核查方式实现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118</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个人姓名变更登记</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个人不动产变更登记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pacing w:val="-11"/>
                <w:sz w:val="21"/>
                <w:szCs w:val="21"/>
                <w:lang w:val="en-US" w:eastAsia="zh-CN"/>
              </w:rPr>
              <w:t>通过行政机关之间协助核查及现场勘验方式实现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119</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小微企业承诺</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企业不动产登记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经充分论证评估并与行业监管部门协商一致，对于当事人承诺内容在相关行政决定作出前可以免于核查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与被继承人的亲属关系证明（通过有亲属关系证明的亲属互相证明，放弃继承的一方</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可以承诺）</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个人不动产继承登记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通过行政机关、其他途径实现核查或现场勘验等方式实现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567"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121</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不动产的法定继承人、遗嘱继承人死亡证明（房地产被继承人死亡年龄为80岁以上且被继承人父母的死亡情况在死亡库中无法查证的情况下，对被继承人父母的死亡证明实施告知承诺制）</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个人不动产继承登记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经充分论证评估并与行业监管部门协商一致，对于当事人承诺内容在相关行政决定作出前可以免于核查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市自然</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资源局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122</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抵押人死亡证明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个人不动产登记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通过行政机关</w:t>
            </w:r>
            <w:r>
              <w:rPr>
                <w:rFonts w:hint="eastAsia" w:ascii="宋体" w:hAnsi="宋体" w:eastAsia="宋体" w:cs="宋体"/>
                <w:spacing w:val="-11"/>
                <w:sz w:val="21"/>
                <w:szCs w:val="21"/>
                <w:lang w:val="en-US" w:eastAsia="zh-CN"/>
              </w:rPr>
              <w:t>之间协助核查及现场勘验方式实现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123</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预购人死亡证明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个人不动产登记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通过行政机关之间协助核</w:t>
            </w:r>
            <w:r>
              <w:rPr>
                <w:rFonts w:hint="eastAsia" w:ascii="宋体" w:hAnsi="宋体" w:eastAsia="宋体" w:cs="宋体"/>
                <w:spacing w:val="-11"/>
                <w:sz w:val="21"/>
                <w:szCs w:val="21"/>
                <w:lang w:val="en-US" w:eastAsia="zh-CN"/>
              </w:rPr>
              <w:t>查及现场勘验方式实现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124</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家庭成员关系证明</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（存在于同一户口簿上的家庭成员）</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个人不动产登记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通过行政机关之间协助</w:t>
            </w:r>
            <w:r>
              <w:rPr>
                <w:rFonts w:hint="eastAsia" w:ascii="宋体" w:hAnsi="宋体" w:eastAsia="宋体" w:cs="宋体"/>
                <w:spacing w:val="-11"/>
                <w:sz w:val="21"/>
                <w:szCs w:val="21"/>
                <w:lang w:val="en-US" w:eastAsia="zh-CN"/>
              </w:rPr>
              <w:t>核查及现场勘验方式实现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125</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婚姻关系证明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个人不动产转移登记</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（夫妻增减名）</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通过行政机关之间协助核</w:t>
            </w:r>
            <w:r>
              <w:rPr>
                <w:rFonts w:hint="eastAsia" w:ascii="宋体" w:hAnsi="宋体" w:eastAsia="宋体" w:cs="宋体"/>
                <w:spacing w:val="-11"/>
                <w:sz w:val="21"/>
                <w:szCs w:val="21"/>
                <w:lang w:val="en-US" w:eastAsia="zh-CN"/>
              </w:rPr>
              <w:t>查及现场勘验方式实现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126</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被监护人利益而处分</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不动产的证明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个人不动产登记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通过行政机</w:t>
            </w:r>
            <w:r>
              <w:rPr>
                <w:rFonts w:hint="eastAsia" w:ascii="宋体" w:hAnsi="宋体" w:eastAsia="宋体" w:cs="宋体"/>
                <w:spacing w:val="-11"/>
                <w:sz w:val="21"/>
                <w:szCs w:val="21"/>
                <w:lang w:val="en-US" w:eastAsia="zh-CN"/>
              </w:rPr>
              <w:t>关之间协助核查及现场勘验方式实现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7</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枣庄市</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生态环境局滕州分局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127</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废弃电器电子产品处理资格许可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生产、销售、使用放射性同位素和</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射线装置的变更</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129</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生产、销售、使用放射性同位素和</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射线装置的颁发</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新申请由枣庄市生态</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环境局颁发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130</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营业执照</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危险废物经营许可证申请</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131</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危险废物经营许可证变更</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危险废物经营许可证换证</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133</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废弃电器电子产品处理资格</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许可证核发</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废弃电器电子产品处理资格</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许可证变更</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生产、销售、使用放射性同位素</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和射线装置的变更</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生产、销售、使用放射性同位素</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和射线装置的颁发</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新申请由枣庄市生态</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环境局颁发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市住房和</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城乡建设局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137</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营业执照</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房地产开发企业资质核定</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（二级、三级、四级、暂定）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138</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建筑业企业资质许可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8</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市住房和</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城乡建设局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（8项）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139</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营业执照</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招标文件备案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140</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招标人自行办理招标事宜备案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141</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房地产开发经营权证明</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142</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社会保险或住房</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公积金缴交证明（两种证明提交一种即可）</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公租房租赁补贴资格确认</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143</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kern w:val="2"/>
                <w:sz w:val="21"/>
                <w:szCs w:val="21"/>
                <w:lang w:val="en-US" w:eastAsia="zh-CN" w:bidi="ar-SA"/>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公租房保障对象资格确认</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144</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未确权的自建房</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宅基地证明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公租房保障对象资格确认</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9</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市交通</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运输局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（12项）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145</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道路运输车辆年度审验</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146</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不动产权证书</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机动车维修经营备案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小微型客车租赁经营备案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148</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道路运输车辆年度审验</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149</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道路运输达标车辆核查</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小微型客车租赁经营备案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151</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出租汽车服务质量信誉考核</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道路运输车辆年度审验</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153</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机动车经营维修备案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小微型客车租赁经营备案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155</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营业执照</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机动车经营维修备案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小微型客车租赁经营备案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10</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市商务和</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投资促进局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157</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国定办公场所产权证明或租用合同</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拍卖业务许可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158</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营业执照</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拍卖业务许可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11</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市文化和</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旅游局</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159</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营业执照</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演出场所经营单位备案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旅行社设立分社备案，旅行社分社变更名称、经营场所、法定代表人或者终止经营的备案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11</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市文化和</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旅游局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（9项）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161</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kern w:val="20"/>
                <w:sz w:val="21"/>
                <w:szCs w:val="21"/>
                <w:lang w:val="en-US" w:eastAsia="zh-CN" w:bidi="ar-SA"/>
              </w:rPr>
            </w:pPr>
            <w:r>
              <w:rPr>
                <w:rFonts w:hint="eastAsia" w:ascii="宋体" w:hAnsi="宋体" w:eastAsia="宋体" w:cs="宋体"/>
                <w:sz w:val="21"/>
                <w:szCs w:val="21"/>
                <w:lang w:val="en-US" w:eastAsia="zh-CN"/>
              </w:rPr>
              <w:t>营业执照</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广播电视节目制作经营单位</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设立审批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162</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经营场所证明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旅行社设立分社备案，旅行社分社</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变更名称、经营场所、法定代表人</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或者终止经营的备案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163</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广播电视节目制作经营单位</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设立审批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164</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演出场所经营单位备案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旅行社设立分社备案，旅行社分社</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变更名称、经营场所、法定代表人</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或者终止经营的备案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广播电视节目制作经营单位</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设立审批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167</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主要管理人员（不少于三名）的广播电视及相关专业简历、业绩或曾参加相关专业培训证明等材料</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广播电视节目制作经营单位</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设立审批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12</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市卫生</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健康局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168</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医师定期考核</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169</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资格（职称）证书</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承担预防接种工作的医疗卫生</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机构（接种单位）的确认</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母婴保健技术服务执业许可、校验</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负责校验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171</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母婴保健技术考核</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合格证书</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母婴保健技术服务执业许可、校验</w:t>
            </w:r>
          </w:p>
        </w:tc>
        <w:tc>
          <w:tcPr>
            <w:tcW w:w="1113"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负责校验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13</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市行政审批服务局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（102项）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172</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道路运输从业人员</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资格证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校车使用许可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173</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《营业性演出许可证》</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副本复印件</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营业性演出审批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174</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2年以上举办营业性</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演出经历、证明文件</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营业性演出审批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市行政审批服务局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（102项）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175</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办公场地证明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乡镇设立广播电视站和机关、</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部队、团体、企业事业单位</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设立有线广播电视站审批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176</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从业人员资格证书</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单采血浆站设置审批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177</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法人证明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178</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医疗机构执业登记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179</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单采血浆站设置审批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180</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护士执业资格考试</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成绩合格证明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护士执业注册</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181</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机动车行驶证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校车使用许可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城市公共汽（电）车客运经营</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（含线路经营）许可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行驶证、驾驶证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183</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道路运输车辆转籍、过户</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驾驶证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184</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机动车驾驶证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校车使用许可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185</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建设工程规划许可证（仅限工改系统</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可查部分）</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建筑工程施工许可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186</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母婴保健技术服务</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执业许可证明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187</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医疗机构执业登记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188</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母婴保健技术考核</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合格证书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母婴保健服务人员资格认定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189</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品种审定证书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农作物种子生产经营许可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190</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企业名称变更、住所</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或经营场所变更证明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食品生产许可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191</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食品添加剂生产许可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计量标准器具核准</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193</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企业名称预先登记</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通知书或营业执照</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设置卫星电视广播地面</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接收设施审批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194</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取水申请批准文件</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取水许可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市行政审批服务局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（102项）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195</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人类辅助生殖技术</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i w:val="0"/>
                <w:iCs w:val="0"/>
                <w:color w:val="auto"/>
                <w:kern w:val="0"/>
                <w:sz w:val="21"/>
                <w:szCs w:val="21"/>
                <w:u w:val="none"/>
                <w:lang w:val="en-US" w:eastAsia="zh-CN" w:bidi="ar"/>
              </w:rPr>
              <w:t>批准证明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196</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医疗机构执业登记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197</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商务主管部门</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批准证明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娱乐场所经营活动审批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198</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营业性演出审批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199</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设置医疗机构</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批准证明</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（含设置单采血浆站的批复文件）</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医疗机构执业登记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201</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放射源诊疗技术和医用辐射</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机构许可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单采血浆站设置审批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203</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申请举办民办学校时提交的理事或董事具有五年以上教育教学经验的证明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民办、中外合作开办中等及以下</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学校和其他教育机构筹设审批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204</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中等及以下学校和其他教育机构</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205</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申请举办民办学校时提交的信用证明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民办、中外合作开办中等及以下</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学校和其他教育机构筹设审批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206</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中等及以下学校和其他教育机构</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207</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身份证明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水产苗种生产经营审批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208</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水域滩涂养殖证核发</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209</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死亡证明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医师执业注册</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210</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护士执业注册</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211</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拖拉机、联合收割机</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来历证明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拖拉机和联合收割机登记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212</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无犯罪证明</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民办、中外合作开办中等及以下</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学校和其他教育机构筹设审批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213</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中等及以下学校和其他教育机构</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214</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新品种权证书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农作物种子生产经营许可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市行政审批服务局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（102项）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215</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学历证明（毕业证）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母婴保健服务人员资格认定</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216</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移民安置规划报告及</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审核意见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水利基建项目初步设计文件审批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217</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原取水许可申请批准文件和取水许可证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取水许可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218</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营业执照</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中介机构从事代理记账业务审批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219</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商品房预售许可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220</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出租汽车经营许可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221</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食用菌菌种生产经营许可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兽药经营许可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223</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种畜禽生产经营许可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224</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物防疫条件合格证核发</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225</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营业性演出审批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226</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娱乐场所经营活动审批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227</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互联网上网服务经营活动审批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228</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229</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医疗机构执业登记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230</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食品生产许可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231</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食品添加剂生产许可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设置大型户外广告及在城市建筑物、设施上悬挂、张贴宣传品审批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233</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临时性建筑物搭建、堆放物料、</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占道施工审批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234</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单建人防工程建设许可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235</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药品经营许可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236</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企业投资项目备案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237</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道路运输企业设立分公司的备案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市行政审批服务局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（102项）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238</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kern w:val="20"/>
                <w:sz w:val="21"/>
                <w:szCs w:val="21"/>
                <w:lang w:val="en-US" w:eastAsia="zh-CN" w:bidi="ar-SA"/>
              </w:rPr>
            </w:pPr>
            <w:r>
              <w:rPr>
                <w:rFonts w:hint="eastAsia" w:ascii="宋体" w:hAnsi="宋体" w:eastAsia="宋体" w:cs="宋体"/>
                <w:sz w:val="21"/>
                <w:szCs w:val="21"/>
                <w:lang w:val="en-US" w:eastAsia="zh-CN"/>
              </w:rPr>
              <w:t>营业执照</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道路运输和道路运输相关业务</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经营者变更法定代表人、名称、</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地址等事项的备案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239</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不动产权证书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出租汽车经营许可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default" w:ascii="宋体" w:hAnsi="宋体" w:eastAsia="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240</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道路运输和道路运输相关业务经营者变更法定代表人、名称、地址等</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事项的备案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241</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道路运输经营许可证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城市公共汽（电）车客运经营</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（含线路经营）许可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道路运输和道路运输相关业务</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经营者变更法定代表人、名称、</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地址等事项的备案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243</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道路旅客运输经营许可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244</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道路运输车辆转籍、过户</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245</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出租汽车经营许可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246</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城市公共汽（电）车客运经营</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（含线路经营）许可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247</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使用浮桥或载客十二人以下船舶</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从事水路运输经营许可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248</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校车使用许可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249</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公路建设项目设计文件审批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250</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涉路施工许可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251</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更新采伐护路林审批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道路旅客运输经营许可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253</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营业性演出审批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254</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娱乐场所经营活动审批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255</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互联网上网服务经营活动审批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256</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卫星电视广播地面接收设施</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安装服务许可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13</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市行政审批服务局</w:t>
            </w:r>
          </w:p>
          <w:p>
            <w:pPr>
              <w:keepNext w:val="0"/>
              <w:keepLines w:val="0"/>
              <w:pageBreakBefore w:val="0"/>
              <w:widowControl w:val="0"/>
              <w:kinsoku/>
              <w:wordWrap/>
              <w:overflowPunct w:val="0"/>
              <w:topLinePunct w:val="0"/>
              <w:autoSpaceDE/>
              <w:autoSpaceDN/>
              <w:bidi w:val="0"/>
              <w:adjustRightInd w:val="0"/>
              <w:snapToGrid w:val="0"/>
              <w:spacing w:beforeLines="0" w:afterLines="0" w:line="39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（102项）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257</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38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设置卫星电视广播地面接收</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设施审批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258</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259</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医疗机构执业登记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260</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单采血浆站设置审批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261</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医师执业注册</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设置大型户外广告及在城市建筑物、设施上悬挂、张贴宣传品审批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263</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临时性建筑物搭建、堆放物料、</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占道施工审批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264</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开发利用人防工程和设施审批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265</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道路运输企业设立分公司的备案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266</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道路运输和道路运输相关业务</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经营者变更法定代表人、名称、</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地址等事项的备案</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267</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道路运输车辆转籍、过户</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268</w:t>
            </w:r>
          </w:p>
        </w:tc>
        <w:tc>
          <w:tcPr>
            <w:tcW w:w="1023" w:type="pct"/>
            <w:vMerge w:val="restar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资格（职称）证书</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269</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医疗机构执业登记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270</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母婴保健技术服务机构执业许可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271</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放射源诊疗技术和医用辐射</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机构许可</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272</w:t>
            </w:r>
          </w:p>
        </w:tc>
        <w:tc>
          <w:tcPr>
            <w:tcW w:w="1023" w:type="pct"/>
            <w:vMerge w:val="continue"/>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单采血浆站设置审批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47"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273</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资信证明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乡镇设立广播电视站和机关、</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部队、团体、企业事业单位</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设立有线广播电视站审批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14</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市市场监</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督管理局</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274</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机动车行驶证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特种设备使用登记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275</w:t>
            </w:r>
          </w:p>
        </w:tc>
        <w:tc>
          <w:tcPr>
            <w:tcW w:w="1023"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机动车登记证</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特种设备使用登记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default" w:ascii="宋体" w:hAnsi="宋体" w:eastAsia="宋体" w:cs="宋体"/>
                <w:sz w:val="21"/>
                <w:szCs w:val="21"/>
                <w:lang w:val="en-US"/>
              </w:rPr>
            </w:pPr>
            <w:r>
              <w:rPr>
                <w:rFonts w:hint="eastAsia" w:ascii="宋体" w:hAnsi="宋体" w:eastAsia="宋体" w:cs="宋体"/>
                <w:sz w:val="21"/>
                <w:szCs w:val="21"/>
                <w:lang w:val="en-US" w:eastAsia="zh-CN"/>
              </w:rPr>
              <w:t>15</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市医疗</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保障局</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276</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出生医学证明</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产前检查支付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277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生育医疗费支付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278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生育津贴支付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279</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计划生育服务手册</w:t>
            </w: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产前检查支付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生育医疗费支付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281</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计划生育医疗费支付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FFFFFF"/>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生育津贴支付</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市住房公积金管理中心</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（20项）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283</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结婚证（省内）</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购买新建自住住房公积金贷款</w:t>
            </w:r>
          </w:p>
        </w:tc>
        <w:tc>
          <w:tcPr>
            <w:tcW w:w="111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查询不到或查询信息不完整的，仍需提供结婚证或其他证明夫妻关系的文本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284</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购买再交易自住住房公积金贷款</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建造、翻建、大修自住住房</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公积金贷款</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偿还购房贷款本息提取住房公积金</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287</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购买自住住房提取住房公积金</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租赁自住住房提取住房公积金</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289</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租赁公共住房提取住房公积金</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290</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营业执照（企业）</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住房公积金单位缴存登记</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291</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退休证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离休、退休提取住房公积金</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达到退休年龄，单位</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办理封存即可办理退休提取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292</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不动产权证</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购买再交易自住住房公积金贷款</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293</w:t>
            </w:r>
          </w:p>
        </w:tc>
        <w:tc>
          <w:tcPr>
            <w:tcW w:w="102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中华人民共和国</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居民身份证（省内）</w:t>
            </w:r>
          </w:p>
        </w:tc>
        <w:tc>
          <w:tcPr>
            <w:tcW w:w="1639"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住房公积金单位缴存登记、住房公积金个人账户设立等政务服务网所有37项服务事项</w:t>
            </w:r>
          </w:p>
        </w:tc>
        <w:tc>
          <w:tcPr>
            <w:tcW w:w="1113" w:type="pc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294</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收入证明</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购买新建自住住房公积金贷款</w:t>
            </w:r>
          </w:p>
        </w:tc>
        <w:tc>
          <w:tcPr>
            <w:tcW w:w="111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以缴存基数认定收入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295</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购买再交易自住住房公积金贷款</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296</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建造、翻建、大修自住</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住房公积金贷款</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16</w:t>
            </w:r>
          </w:p>
        </w:tc>
        <w:tc>
          <w:tcPr>
            <w:tcW w:w="626"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市住房公积金管理中心</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（20项）</w:t>
            </w: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297</w:t>
            </w:r>
          </w:p>
        </w:tc>
        <w:tc>
          <w:tcPr>
            <w:tcW w:w="102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个人征信报告</w:t>
            </w: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购买新建自住住房公积金贷款</w:t>
            </w:r>
          </w:p>
        </w:tc>
        <w:tc>
          <w:tcPr>
            <w:tcW w:w="1113" w:type="pct"/>
            <w:vMerge w:val="restart"/>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个人授权，公积金中心查询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298</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购买再交易自住住房公积金贷款</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299</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建造、翻建、大修自住住房</w:t>
            </w:r>
          </w:p>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公积金贷款</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300</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租赁公共租赁住房提取住房公积金</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301</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租赁自住住房提取住房公积金</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 w:hRule="atLeast"/>
          <w:jc w:val="center"/>
        </w:trPr>
        <w:tc>
          <w:tcPr>
            <w:tcW w:w="290"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626"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307" w:type="pct"/>
            <w:tcBorders>
              <w:tl2br w:val="nil"/>
              <w:tr2bl w:val="nil"/>
            </w:tcBorders>
            <w:shd w:val="clear" w:color="auto" w:fill="auto"/>
            <w:vAlign w:val="center"/>
          </w:tcPr>
          <w:p>
            <w:pPr>
              <w:keepNext w:val="0"/>
              <w:keepLines w:val="0"/>
              <w:pageBreakBefore w:val="0"/>
              <w:widowControl w:val="0"/>
              <w:suppressLineNumbers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302</w:t>
            </w:r>
          </w:p>
        </w:tc>
        <w:tc>
          <w:tcPr>
            <w:tcW w:w="102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c>
          <w:tcPr>
            <w:tcW w:w="1639" w:type="pct"/>
            <w:tcBorders>
              <w:tl2br w:val="nil"/>
              <w:tr2bl w:val="nil"/>
            </w:tcBorders>
            <w:shd w:val="clear" w:color="auto" w:fill="auto"/>
            <w:noWrap/>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偿还购房贷款本息提取住房公积金</w:t>
            </w:r>
          </w:p>
        </w:tc>
        <w:tc>
          <w:tcPr>
            <w:tcW w:w="1113" w:type="pct"/>
            <w:vMerge w:val="continue"/>
            <w:tcBorders>
              <w:tl2br w:val="nil"/>
              <w:tr2bl w:val="nil"/>
            </w:tcBorders>
            <w:shd w:val="clear" w:color="auto" w:fill="auto"/>
            <w:vAlign w:val="center"/>
          </w:tcPr>
          <w:p>
            <w:pPr>
              <w:keepNext w:val="0"/>
              <w:keepLines w:val="0"/>
              <w:pageBreakBefore w:val="0"/>
              <w:widowControl w:val="0"/>
              <w:kinsoku/>
              <w:wordWrap/>
              <w:overflowPunct w:val="0"/>
              <w:topLinePunct w:val="0"/>
              <w:autoSpaceDE/>
              <w:autoSpaceDN/>
              <w:bidi w:val="0"/>
              <w:adjustRightInd w:val="0"/>
              <w:snapToGrid w:val="0"/>
              <w:spacing w:beforeLines="0" w:afterLines="0" w:line="400" w:lineRule="exact"/>
              <w:ind w:left="-64" w:leftChars="-20" w:right="-64" w:rightChars="-20" w:firstLine="0" w:firstLineChars="0"/>
              <w:jc w:val="center"/>
              <w:rPr>
                <w:rFonts w:hint="eastAsia" w:ascii="宋体" w:hAnsi="宋体" w:eastAsia="宋体" w:cs="宋体"/>
                <w:sz w:val="21"/>
                <w:szCs w:val="21"/>
              </w:rPr>
            </w:pPr>
          </w:p>
        </w:tc>
      </w:tr>
    </w:tbl>
    <w:p/>
    <w:p/>
    <w:p>
      <w:pPr>
        <w:pStyle w:val="2"/>
        <w:ind w:left="0" w:leftChars="0" w:firstLine="0" w:firstLineChars="0"/>
      </w:pPr>
    </w:p>
    <w:sectPr>
      <w:footerReference r:id="rId5" w:type="default"/>
      <w:pgSz w:w="11906" w:h="16838"/>
      <w:pgMar w:top="1701" w:right="1701" w:bottom="1701" w:left="1701" w:header="851" w:footer="1304"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480" w:firstLine="640"/>
      </w:pPr>
      <w:r>
        <w:separator/>
      </w:r>
    </w:p>
  </w:endnote>
  <w:endnote w:type="continuationSeparator" w:id="1">
    <w:p>
      <w:pPr>
        <w:spacing w:line="240" w:lineRule="auto"/>
        <w:ind w:left="-320" w:right="-480"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val="0"/>
      <w:topLinePunct w:val="0"/>
      <w:autoSpaceDE/>
      <w:autoSpaceDN/>
      <w:bidi w:val="0"/>
      <w:adjustRightInd/>
      <w:snapToGrid w:val="0"/>
      <w:spacing w:beforeLines="0" w:afterLines="0" w:line="400" w:lineRule="exact"/>
      <w:ind w:left="0" w:leftChars="0" w:right="0" w:rightChars="0" w:firstLine="0" w:firstLineChars="0"/>
      <w:textAlignment w:val="auto"/>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val="0"/>
                            <w:topLinePunct w:val="0"/>
                            <w:autoSpaceDE/>
                            <w:autoSpaceDN/>
                            <w:bidi w:val="0"/>
                            <w:adjustRightInd/>
                            <w:snapToGrid w:val="0"/>
                            <w:spacing w:beforeLines="0" w:afterLines="0"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val="0"/>
                      <w:topLinePunct w:val="0"/>
                      <w:autoSpaceDE/>
                      <w:autoSpaceDN/>
                      <w:bidi w:val="0"/>
                      <w:adjustRightInd/>
                      <w:snapToGrid w:val="0"/>
                      <w:spacing w:beforeLines="0" w:afterLines="0" w:line="400" w:lineRule="exact"/>
                      <w:ind w:left="0" w:leftChars="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320" w:right="-480" w:firstLine="640"/>
      </w:pPr>
      <w:r>
        <w:separator/>
      </w:r>
    </w:p>
  </w:footnote>
  <w:footnote w:type="continuationSeparator" w:id="1">
    <w:p>
      <w:pPr>
        <w:spacing w:line="240" w:lineRule="auto"/>
        <w:ind w:left="-320" w:right="-480"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MzM1MTYxNmYxZjZlY2U4ZTIzMzEyMzI5MjVlMjUifQ=="/>
  </w:docVars>
  <w:rsids>
    <w:rsidRoot w:val="386A0660"/>
    <w:rsid w:val="057472D3"/>
    <w:rsid w:val="31A65375"/>
    <w:rsid w:val="34A50280"/>
    <w:rsid w:val="386A0660"/>
    <w:rsid w:val="431429DD"/>
    <w:rsid w:val="4BEF348F"/>
    <w:rsid w:val="509B4CA0"/>
    <w:rsid w:val="796D29EF"/>
    <w:rsid w:val="7D9B8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spacing w:beforeLines="50" w:afterLines="50" w:line="480" w:lineRule="exact"/>
      <w:ind w:left="-100" w:leftChars="-100" w:right="-150" w:rightChars="-150" w:firstLine="200" w:firstLineChars="200"/>
      <w:jc w:val="both"/>
    </w:pPr>
    <w:rPr>
      <w:rFonts w:ascii="Times New Roman" w:hAnsi="Times New Roman" w:eastAsia="仿宋_GB2312" w:cs="Times New Roman"/>
      <w:kern w:val="20"/>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line="660" w:lineRule="exact"/>
      <w:ind w:firstLine="705"/>
    </w:pPr>
    <w:rPr>
      <w:rFonts w:ascii="仿宋_GB2312" w:hAnsi="Times New Roman" w:eastAsia="仿宋_GB2312" w:cs="Times New Roman"/>
      <w:color w:val="000000"/>
      <w:sz w:val="36"/>
      <w:szCs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7152</Words>
  <Characters>7712</Characters>
  <Lines>0</Lines>
  <Paragraphs>0</Paragraphs>
  <TotalTime>0</TotalTime>
  <ScaleCrop>false</ScaleCrop>
  <LinksUpToDate>false</LinksUpToDate>
  <CharactersWithSpaces>7712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2023-06-02T10:21:00Z</dcterms:created>
  <dc:creator>tengzhou</dc:creator>
  <cp:lastModifiedBy>zhangxx</cp:lastModifiedBy>
  <cp:lastPrinted>2023-07-14T12:37:00Z</cp:lastPrinted>
  <dcterms:modified xsi:type="dcterms:W3CDTF">2023-07-31T17:21:37Z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50E81B03C9E4461EB9E98A25904B9030_11</vt:lpwstr>
  </property>
</Properties>
</file>